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C959" w14:textId="3C2C5AC1" w:rsidR="00F51A3B" w:rsidRPr="004A5C29" w:rsidRDefault="001A4474" w:rsidP="00F51A3B">
      <w:pPr>
        <w:pBdr>
          <w:bottom w:val="single" w:sz="4" w:space="1" w:color="auto"/>
        </w:pBdr>
        <w:tabs>
          <w:tab w:val="left" w:pos="8364"/>
        </w:tabs>
        <w:spacing w:before="240" w:after="240"/>
        <w:rPr>
          <w:rFonts w:ascii="Times New Roman" w:eastAsia="Times New Roman" w:hAnsi="Times New Roman" w:cs="Times New Roman"/>
          <w:b/>
          <w:bCs/>
          <w:sz w:val="24"/>
          <w:szCs w:val="24"/>
          <w:lang w:val="en-US"/>
        </w:rPr>
      </w:pPr>
      <w:r w:rsidRPr="009E62EF">
        <w:rPr>
          <w:b/>
          <w:bCs/>
          <w:noProof/>
          <w:sz w:val="32"/>
          <w:szCs w:val="32"/>
          <w:lang w:val="en-US"/>
        </w:rPr>
        <w:drawing>
          <wp:anchor distT="114300" distB="114300" distL="114300" distR="114300" simplePos="0" relativeHeight="251659264" behindDoc="1" locked="0" layoutInCell="1" hidden="0" allowOverlap="1" wp14:anchorId="7DF28783" wp14:editId="21988FD0">
            <wp:simplePos x="0" y="0"/>
            <wp:positionH relativeFrom="margin">
              <wp:posOffset>-260350</wp:posOffset>
            </wp:positionH>
            <wp:positionV relativeFrom="paragraph">
              <wp:posOffset>451485</wp:posOffset>
            </wp:positionV>
            <wp:extent cx="1287780" cy="11290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287780" cy="1129030"/>
                    </a:xfrm>
                    <a:prstGeom prst="rect">
                      <a:avLst/>
                    </a:prstGeom>
                    <a:ln/>
                  </pic:spPr>
                </pic:pic>
              </a:graphicData>
            </a:graphic>
            <wp14:sizeRelH relativeFrom="margin">
              <wp14:pctWidth>0</wp14:pctWidth>
            </wp14:sizeRelH>
            <wp14:sizeRelV relativeFrom="margin">
              <wp14:pctHeight>0</wp14:pctHeight>
            </wp14:sizeRelV>
          </wp:anchor>
        </w:drawing>
      </w:r>
      <w:r w:rsidR="00F51A3B" w:rsidRPr="004A5C29">
        <w:rPr>
          <w:rFonts w:ascii="Times New Roman" w:eastAsia="Times New Roman" w:hAnsi="Times New Roman" w:cs="Times New Roman"/>
          <w:b/>
          <w:bCs/>
          <w:sz w:val="24"/>
          <w:szCs w:val="24"/>
          <w:lang w:val="en-US"/>
        </w:rPr>
        <w:t>Elbe Model United Nations</w:t>
      </w:r>
      <w:r w:rsidR="00F51A3B">
        <w:rPr>
          <w:rFonts w:ascii="Times New Roman" w:eastAsia="Times New Roman" w:hAnsi="Times New Roman" w:cs="Times New Roman"/>
          <w:b/>
          <w:bCs/>
          <w:sz w:val="24"/>
          <w:szCs w:val="24"/>
          <w:lang w:val="en-US"/>
        </w:rPr>
        <w:tab/>
      </w:r>
      <w:r w:rsidR="00F51A3B" w:rsidRPr="00F33BBD">
        <w:rPr>
          <w:rFonts w:ascii="Times New Roman" w:eastAsia="Times New Roman" w:hAnsi="Times New Roman" w:cs="Times New Roman"/>
          <w:b/>
          <w:bCs/>
          <w:sz w:val="32"/>
          <w:szCs w:val="32"/>
          <w:lang w:val="en-US"/>
        </w:rPr>
        <w:t>[1.0]</w:t>
      </w:r>
    </w:p>
    <w:p w14:paraId="32B284CD" w14:textId="45A3A0DC" w:rsidR="00F51A3B" w:rsidRDefault="00F51A3B" w:rsidP="00F51A3B">
      <w:pPr>
        <w:spacing w:before="240" w:after="240" w:line="240" w:lineRule="auto"/>
        <w:ind w:left="5760" w:hanging="4060"/>
        <w:jc w:val="both"/>
        <w:rPr>
          <w:rFonts w:ascii="Times New Roman" w:eastAsia="Times New Roman" w:hAnsi="Times New Roman" w:cs="Times New Roman"/>
          <w:b/>
          <w:sz w:val="40"/>
          <w:szCs w:val="40"/>
          <w:lang w:val="en-US"/>
        </w:rPr>
      </w:pPr>
      <w:r w:rsidRPr="00F51A3B">
        <w:rPr>
          <w:b/>
          <w:bCs/>
          <w:noProof/>
          <w:sz w:val="32"/>
          <w:szCs w:val="32"/>
          <w:lang w:val="en-US"/>
        </w:rPr>
        <w:t xml:space="preserve">The Commission on </w:t>
      </w:r>
      <w:r w:rsidR="00AE3E2A">
        <w:rPr>
          <w:b/>
          <w:bCs/>
          <w:noProof/>
          <w:sz w:val="32"/>
          <w:szCs w:val="32"/>
          <w:lang w:val="en-US"/>
        </w:rPr>
        <w:t xml:space="preserve">the </w:t>
      </w:r>
      <w:r w:rsidRPr="00F51A3B">
        <w:rPr>
          <w:b/>
          <w:bCs/>
          <w:noProof/>
          <w:sz w:val="32"/>
          <w:szCs w:val="32"/>
          <w:lang w:val="en-US"/>
        </w:rPr>
        <w:t>Status of Women</w:t>
      </w:r>
    </w:p>
    <w:p w14:paraId="142833C0" w14:textId="21237ACE" w:rsidR="00F51A3B" w:rsidRPr="009E62EF" w:rsidRDefault="00F51A3B" w:rsidP="00AE3E2A">
      <w:pPr>
        <w:spacing w:before="240" w:after="240" w:line="240" w:lineRule="auto"/>
        <w:ind w:left="5760"/>
        <w:rPr>
          <w:rFonts w:ascii="Times New Roman" w:eastAsia="Times New Roman" w:hAnsi="Times New Roman" w:cs="Times New Roman"/>
          <w:b/>
          <w:sz w:val="20"/>
          <w:szCs w:val="20"/>
          <w:lang w:val="en-US"/>
        </w:rPr>
      </w:pPr>
      <w:r w:rsidRPr="009E62EF">
        <w:rPr>
          <w:rFonts w:ascii="Times New Roman" w:eastAsia="Times New Roman" w:hAnsi="Times New Roman" w:cs="Times New Roman"/>
          <w:sz w:val="20"/>
          <w:szCs w:val="20"/>
          <w:lang w:val="en-US"/>
        </w:rPr>
        <w:t xml:space="preserve">Sponsors: </w:t>
      </w:r>
      <w:r w:rsidR="000A2C3A" w:rsidRPr="000A2C3A">
        <w:rPr>
          <w:rFonts w:ascii="Times New Roman" w:eastAsia="Times New Roman" w:hAnsi="Times New Roman" w:cs="Times New Roman"/>
          <w:sz w:val="20"/>
          <w:szCs w:val="20"/>
          <w:lang w:val="en-US"/>
        </w:rPr>
        <w:t>The United Kingdom of Great Britain and Northern Ireland</w:t>
      </w:r>
    </w:p>
    <w:p w14:paraId="65560D1D" w14:textId="5857CE18" w:rsidR="00F51A3B" w:rsidRPr="009E62EF" w:rsidRDefault="00F51A3B" w:rsidP="00AE3E2A">
      <w:pPr>
        <w:spacing w:before="240" w:after="240" w:line="240" w:lineRule="auto"/>
        <w:ind w:left="5760"/>
        <w:rPr>
          <w:rFonts w:ascii="Times New Roman" w:eastAsia="Times New Roman" w:hAnsi="Times New Roman" w:cs="Times New Roman"/>
          <w:b/>
          <w:sz w:val="20"/>
          <w:szCs w:val="20"/>
          <w:lang w:val="en-US"/>
        </w:rPr>
      </w:pPr>
      <w:r w:rsidRPr="009E62EF">
        <w:rPr>
          <w:rFonts w:ascii="Times New Roman" w:eastAsia="Times New Roman" w:hAnsi="Times New Roman" w:cs="Times New Roman"/>
          <w:sz w:val="20"/>
          <w:szCs w:val="20"/>
          <w:lang w:val="en-US"/>
        </w:rPr>
        <w:t xml:space="preserve">Signatories: </w:t>
      </w:r>
      <w:r w:rsidR="00036E17" w:rsidRPr="00036E17">
        <w:rPr>
          <w:rFonts w:ascii="Times New Roman" w:eastAsia="Times New Roman" w:hAnsi="Times New Roman" w:cs="Times New Roman"/>
          <w:sz w:val="20"/>
          <w:szCs w:val="20"/>
          <w:lang w:val="en-US"/>
        </w:rPr>
        <w:t>The Commonwealth of Australia, Peru, South Africa, Hungary, Denmark, Lithuania</w:t>
      </w:r>
    </w:p>
    <w:p w14:paraId="3141EC80" w14:textId="77777777" w:rsidR="00F51A3B" w:rsidRPr="009E62EF" w:rsidRDefault="00F51A3B" w:rsidP="00F51A3B">
      <w:pPr>
        <w:spacing w:line="240" w:lineRule="auto"/>
        <w:jc w:val="right"/>
        <w:rPr>
          <w:rFonts w:ascii="Times New Roman" w:eastAsia="Times New Roman" w:hAnsi="Times New Roman" w:cs="Times New Roman"/>
          <w:sz w:val="20"/>
          <w:szCs w:val="20"/>
          <w:lang w:val="en-US"/>
        </w:rPr>
      </w:pPr>
      <w:r w:rsidRPr="009E62EF">
        <w:rPr>
          <w:rFonts w:ascii="Times New Roman" w:eastAsia="Times New Roman" w:hAnsi="Times New Roman" w:cs="Times New Roman"/>
          <w:sz w:val="20"/>
          <w:szCs w:val="20"/>
          <w:lang w:val="en-US"/>
        </w:rPr>
        <w:t>Distr.: General</w:t>
      </w:r>
    </w:p>
    <w:p w14:paraId="491AB19B" w14:textId="49B71373" w:rsidR="00F51A3B" w:rsidRPr="009E62EF" w:rsidRDefault="00F51A3B" w:rsidP="00F51A3B">
      <w:pPr>
        <w:pBdr>
          <w:bottom w:val="single" w:sz="4" w:space="1" w:color="auto"/>
        </w:pBdr>
        <w:spacing w:line="240" w:lineRule="auto"/>
        <w:jc w:val="right"/>
        <w:rPr>
          <w:rFonts w:ascii="Times New Roman" w:eastAsia="Times New Roman" w:hAnsi="Times New Roman" w:cs="Times New Roman"/>
          <w:sz w:val="20"/>
          <w:szCs w:val="20"/>
          <w:lang w:val="en-US"/>
        </w:rPr>
      </w:pPr>
      <w:r w:rsidRPr="009E62EF">
        <w:rPr>
          <w:rFonts w:ascii="Times New Roman" w:eastAsia="Times New Roman" w:hAnsi="Times New Roman" w:cs="Times New Roman"/>
          <w:sz w:val="20"/>
          <w:szCs w:val="20"/>
          <w:lang w:val="en-US"/>
        </w:rPr>
        <w:fldChar w:fldCharType="begin"/>
      </w:r>
      <w:r w:rsidRPr="009E62EF">
        <w:rPr>
          <w:rFonts w:ascii="Times New Roman" w:eastAsia="Times New Roman" w:hAnsi="Times New Roman" w:cs="Times New Roman"/>
          <w:sz w:val="20"/>
          <w:szCs w:val="20"/>
          <w:lang w:val="en-US"/>
        </w:rPr>
        <w:instrText xml:space="preserve"> DATE  \@ "d MMMM yyyy"  \* MERGEFORMAT </w:instrText>
      </w:r>
      <w:r w:rsidRPr="009E62EF">
        <w:rPr>
          <w:rFonts w:ascii="Times New Roman" w:eastAsia="Times New Roman" w:hAnsi="Times New Roman" w:cs="Times New Roman"/>
          <w:sz w:val="20"/>
          <w:szCs w:val="20"/>
          <w:lang w:val="en-US"/>
        </w:rPr>
        <w:fldChar w:fldCharType="separate"/>
      </w:r>
      <w:r w:rsidR="00300055">
        <w:rPr>
          <w:rFonts w:ascii="Times New Roman" w:eastAsia="Times New Roman" w:hAnsi="Times New Roman" w:cs="Times New Roman"/>
          <w:noProof/>
          <w:sz w:val="20"/>
          <w:szCs w:val="20"/>
          <w:lang w:val="en-US"/>
        </w:rPr>
        <w:t>24 April 2022</w:t>
      </w:r>
      <w:r w:rsidRPr="009E62EF">
        <w:rPr>
          <w:rFonts w:ascii="Times New Roman" w:eastAsia="Times New Roman" w:hAnsi="Times New Roman" w:cs="Times New Roman"/>
          <w:sz w:val="20"/>
          <w:szCs w:val="20"/>
          <w:lang w:val="en-US"/>
        </w:rPr>
        <w:fldChar w:fldCharType="end"/>
      </w:r>
    </w:p>
    <w:p w14:paraId="201C6F9C" w14:textId="77777777" w:rsidR="00F51A3B" w:rsidRPr="009E62EF" w:rsidRDefault="00F51A3B" w:rsidP="00F51A3B">
      <w:pPr>
        <w:pBdr>
          <w:bottom w:val="single" w:sz="4" w:space="1" w:color="auto"/>
        </w:pBdr>
        <w:spacing w:after="240" w:line="240" w:lineRule="auto"/>
        <w:jc w:val="right"/>
        <w:rPr>
          <w:rFonts w:ascii="Times New Roman" w:eastAsia="Times New Roman" w:hAnsi="Times New Roman" w:cs="Times New Roman"/>
          <w:sz w:val="20"/>
          <w:szCs w:val="20"/>
          <w:lang w:val="en-US"/>
        </w:rPr>
      </w:pPr>
      <w:r w:rsidRPr="009E62EF">
        <w:rPr>
          <w:rFonts w:ascii="Times New Roman" w:eastAsia="Times New Roman" w:hAnsi="Times New Roman" w:cs="Times New Roman"/>
          <w:sz w:val="20"/>
          <w:szCs w:val="20"/>
          <w:lang w:val="en-US"/>
        </w:rPr>
        <w:t>Original: English</w:t>
      </w:r>
    </w:p>
    <w:p w14:paraId="6B5682CE" w14:textId="2FE9A7D4" w:rsidR="00D52711" w:rsidRPr="00AE3E2A" w:rsidRDefault="00D52711" w:rsidP="00D52711">
      <w:pPr>
        <w:spacing w:before="240" w:line="240" w:lineRule="auto"/>
        <w:jc w:val="both"/>
        <w:rPr>
          <w:rFonts w:ascii="Times New Roman" w:eastAsia="Times New Roman" w:hAnsi="Times New Roman" w:cs="Times New Roman"/>
          <w:bCs/>
          <w:i/>
          <w:iCs/>
          <w:sz w:val="20"/>
          <w:szCs w:val="20"/>
          <w:lang w:val="en-US"/>
        </w:rPr>
      </w:pPr>
      <w:r w:rsidRPr="00AE3E2A">
        <w:rPr>
          <w:rFonts w:ascii="Times New Roman" w:eastAsia="Times New Roman" w:hAnsi="Times New Roman" w:cs="Times New Roman"/>
          <w:bCs/>
          <w:i/>
          <w:iCs/>
          <w:sz w:val="20"/>
          <w:szCs w:val="20"/>
          <w:lang w:val="en-US"/>
        </w:rPr>
        <w:t>Eleventh session</w:t>
      </w:r>
    </w:p>
    <w:p w14:paraId="1F06E36B" w14:textId="46617F2E" w:rsidR="00D52711" w:rsidRPr="00AE3E2A" w:rsidRDefault="00D52711" w:rsidP="00D52711">
      <w:pPr>
        <w:spacing w:line="240" w:lineRule="auto"/>
        <w:jc w:val="both"/>
        <w:rPr>
          <w:rFonts w:ascii="Times New Roman" w:eastAsia="Times New Roman" w:hAnsi="Times New Roman" w:cs="Times New Roman"/>
          <w:b/>
          <w:sz w:val="20"/>
          <w:szCs w:val="20"/>
          <w:lang w:val="en-US"/>
        </w:rPr>
      </w:pPr>
      <w:r w:rsidRPr="00AE3E2A">
        <w:rPr>
          <w:rFonts w:ascii="Times New Roman" w:eastAsia="Times New Roman" w:hAnsi="Times New Roman" w:cs="Times New Roman"/>
          <w:b/>
          <w:sz w:val="20"/>
          <w:szCs w:val="20"/>
          <w:lang w:val="en-US"/>
        </w:rPr>
        <w:t>Agenda Item: 1</w:t>
      </w:r>
    </w:p>
    <w:p w14:paraId="02261B52" w14:textId="77777777" w:rsidR="00AE3E2A" w:rsidRDefault="00AE3E2A" w:rsidP="00D52711">
      <w:pPr>
        <w:spacing w:line="240" w:lineRule="auto"/>
        <w:jc w:val="both"/>
        <w:rPr>
          <w:rFonts w:ascii="Times New Roman" w:eastAsia="Times New Roman" w:hAnsi="Times New Roman" w:cs="Times New Roman"/>
          <w:b/>
          <w:sz w:val="24"/>
          <w:szCs w:val="24"/>
          <w:lang w:val="en-US"/>
        </w:rPr>
      </w:pPr>
    </w:p>
    <w:p w14:paraId="2558E0E1" w14:textId="00C0DE8B" w:rsidR="00D52711" w:rsidRPr="00D52711" w:rsidRDefault="00D52711" w:rsidP="00D52711">
      <w:pPr>
        <w:spacing w:line="240" w:lineRule="auto"/>
        <w:jc w:val="both"/>
        <w:rPr>
          <w:rFonts w:ascii="Times New Roman" w:eastAsia="Times New Roman" w:hAnsi="Times New Roman" w:cs="Times New Roman"/>
          <w:b/>
          <w:sz w:val="24"/>
          <w:szCs w:val="24"/>
          <w:lang w:val="en-US"/>
        </w:rPr>
      </w:pPr>
      <w:r w:rsidRPr="00D52711">
        <w:rPr>
          <w:rFonts w:ascii="Times New Roman" w:eastAsia="Times New Roman" w:hAnsi="Times New Roman" w:cs="Times New Roman"/>
          <w:b/>
          <w:sz w:val="24"/>
          <w:szCs w:val="24"/>
          <w:lang w:val="en-US"/>
        </w:rPr>
        <w:t>Ending Violence Against Women - Eliminating Female Genital Mutilation</w:t>
      </w:r>
    </w:p>
    <w:p w14:paraId="00000005" w14:textId="1D09871B" w:rsidR="00957DA7" w:rsidRPr="00AE3E2A" w:rsidRDefault="00AE3E2A" w:rsidP="00AE3E2A">
      <w:pPr>
        <w:spacing w:before="240" w:after="240"/>
        <w:ind w:firstLine="720"/>
        <w:jc w:val="both"/>
        <w:rPr>
          <w:rFonts w:ascii="Times New Roman" w:eastAsia="Times New Roman" w:hAnsi="Times New Roman" w:cs="Times New Roman"/>
          <w:sz w:val="28"/>
          <w:szCs w:val="28"/>
          <w:lang w:val="en-US"/>
        </w:rPr>
      </w:pPr>
      <w:r w:rsidRPr="00AE3E2A">
        <w:rPr>
          <w:color w:val="1F1923"/>
          <w:lang w:val="en-US"/>
        </w:rPr>
        <w:t xml:space="preserve">THE COMMISSION ON THE STATUS OF WOMEN, </w:t>
      </w:r>
    </w:p>
    <w:p w14:paraId="00000006" w14:textId="77777777" w:rsidR="00957DA7" w:rsidRPr="00F51A3B" w:rsidRDefault="00036E17" w:rsidP="000E36FF">
      <w:pPr>
        <w:widowControl w:val="0"/>
        <w:pBdr>
          <w:top w:val="nil"/>
          <w:left w:val="nil"/>
          <w:bottom w:val="nil"/>
          <w:right w:val="nil"/>
          <w:between w:val="nil"/>
        </w:pBdr>
        <w:spacing w:before="109" w:line="264" w:lineRule="auto"/>
        <w:ind w:right="592"/>
        <w:rPr>
          <w:color w:val="1F1923"/>
          <w:lang w:val="en-US"/>
        </w:rPr>
      </w:pPr>
      <w:r w:rsidRPr="00F51A3B">
        <w:rPr>
          <w:i/>
          <w:color w:val="1F1923"/>
          <w:lang w:val="en-US"/>
        </w:rPr>
        <w:t xml:space="preserve">Alarmed by </w:t>
      </w:r>
      <w:r w:rsidRPr="00F51A3B">
        <w:rPr>
          <w:color w:val="1F1923"/>
          <w:lang w:val="en-US"/>
        </w:rPr>
        <w:t xml:space="preserve">all kinds of non-medical purposes procedures that mentally, physically and psychological harm, </w:t>
      </w:r>
    </w:p>
    <w:p w14:paraId="00000007" w14:textId="77777777" w:rsidR="00957DA7" w:rsidRPr="00F51A3B" w:rsidRDefault="00036E17" w:rsidP="000E36FF">
      <w:pPr>
        <w:widowControl w:val="0"/>
        <w:pBdr>
          <w:top w:val="nil"/>
          <w:left w:val="nil"/>
          <w:bottom w:val="nil"/>
          <w:right w:val="nil"/>
          <w:between w:val="nil"/>
        </w:pBdr>
        <w:spacing w:before="302" w:line="240" w:lineRule="auto"/>
        <w:rPr>
          <w:color w:val="1F1923"/>
          <w:lang w:val="en-US"/>
        </w:rPr>
      </w:pPr>
      <w:r w:rsidRPr="00F51A3B">
        <w:rPr>
          <w:i/>
          <w:color w:val="1F1923"/>
          <w:lang w:val="en-US"/>
        </w:rPr>
        <w:t xml:space="preserve">Reassuring </w:t>
      </w:r>
      <w:r w:rsidRPr="00F51A3B">
        <w:rPr>
          <w:color w:val="1F1923"/>
          <w:lang w:val="en-US"/>
        </w:rPr>
        <w:t xml:space="preserve">its commitment to fighting and preserving the rights of women, </w:t>
      </w:r>
    </w:p>
    <w:p w14:paraId="00000008" w14:textId="77777777" w:rsidR="00957DA7" w:rsidRPr="00F51A3B" w:rsidRDefault="00036E17" w:rsidP="000E36FF">
      <w:pPr>
        <w:widowControl w:val="0"/>
        <w:pBdr>
          <w:top w:val="nil"/>
          <w:left w:val="nil"/>
          <w:bottom w:val="nil"/>
          <w:right w:val="nil"/>
          <w:between w:val="nil"/>
        </w:pBdr>
        <w:spacing w:before="325" w:line="264" w:lineRule="auto"/>
        <w:ind w:right="820"/>
        <w:rPr>
          <w:color w:val="1F1923"/>
          <w:lang w:val="en-US"/>
        </w:rPr>
      </w:pPr>
      <w:r w:rsidRPr="00F51A3B">
        <w:rPr>
          <w:i/>
          <w:color w:val="1F1923"/>
          <w:lang w:val="en-US"/>
        </w:rPr>
        <w:t xml:space="preserve">Having devoted attention </w:t>
      </w:r>
      <w:r w:rsidRPr="00F51A3B">
        <w:rPr>
          <w:color w:val="1F1923"/>
          <w:lang w:val="en-US"/>
        </w:rPr>
        <w:t xml:space="preserve">to secure equal access for every person to wages, political participation, healthcare and social representation. </w:t>
      </w:r>
    </w:p>
    <w:p w14:paraId="00000009" w14:textId="79313A2E" w:rsidR="00957DA7" w:rsidRPr="00F51A3B" w:rsidRDefault="00036E17" w:rsidP="000E36FF">
      <w:pPr>
        <w:widowControl w:val="0"/>
        <w:pBdr>
          <w:top w:val="nil"/>
          <w:left w:val="nil"/>
          <w:bottom w:val="nil"/>
          <w:right w:val="nil"/>
          <w:between w:val="nil"/>
        </w:pBdr>
        <w:spacing w:before="302" w:line="264" w:lineRule="auto"/>
        <w:ind w:right="641"/>
        <w:rPr>
          <w:color w:val="1F1923"/>
          <w:lang w:val="en-US"/>
        </w:rPr>
      </w:pPr>
      <w:r w:rsidRPr="00F51A3B">
        <w:rPr>
          <w:i/>
          <w:color w:val="1F1923"/>
          <w:lang w:val="en-US"/>
        </w:rPr>
        <w:t xml:space="preserve">Reaffirming </w:t>
      </w:r>
      <w:r w:rsidRPr="00F51A3B">
        <w:rPr>
          <w:color w:val="1F1923"/>
          <w:lang w:val="en-US"/>
        </w:rPr>
        <w:t>the Universal Declaration of Human Rights and every other effort</w:t>
      </w:r>
      <w:r w:rsidR="000E36FF">
        <w:rPr>
          <w:color w:val="1F1923"/>
          <w:lang w:val="en-US"/>
        </w:rPr>
        <w:t xml:space="preserve"> </w:t>
      </w:r>
      <w:r w:rsidRPr="00F51A3B">
        <w:rPr>
          <w:color w:val="1F1923"/>
          <w:lang w:val="en-US"/>
        </w:rPr>
        <w:t xml:space="preserve">made to achieve and conquer human and women’s rights, </w:t>
      </w:r>
    </w:p>
    <w:p w14:paraId="0000000A" w14:textId="77777777" w:rsidR="00957DA7" w:rsidRPr="00F51A3B" w:rsidRDefault="00036E17" w:rsidP="000E36FF">
      <w:pPr>
        <w:widowControl w:val="0"/>
        <w:pBdr>
          <w:top w:val="nil"/>
          <w:left w:val="nil"/>
          <w:bottom w:val="nil"/>
          <w:right w:val="nil"/>
          <w:between w:val="nil"/>
        </w:pBdr>
        <w:spacing w:before="302" w:line="264" w:lineRule="auto"/>
        <w:ind w:right="116"/>
        <w:rPr>
          <w:color w:val="1F1923"/>
          <w:lang w:val="en-US"/>
        </w:rPr>
      </w:pPr>
      <w:r w:rsidRPr="00F51A3B">
        <w:rPr>
          <w:i/>
          <w:color w:val="1F1923"/>
          <w:lang w:val="en-US"/>
        </w:rPr>
        <w:t xml:space="preserve">Recalling </w:t>
      </w:r>
      <w:r w:rsidRPr="00F51A3B">
        <w:rPr>
          <w:color w:val="1F1923"/>
          <w:lang w:val="en-US"/>
        </w:rPr>
        <w:t xml:space="preserve">all the work this commission under the legislation of the United Nations Economic and Social Council has done, </w:t>
      </w:r>
    </w:p>
    <w:p w14:paraId="56BC2A29" w14:textId="77777777" w:rsidR="00A84AA8" w:rsidRDefault="00036E17" w:rsidP="000E36FF">
      <w:pPr>
        <w:pStyle w:val="Listenabsatz"/>
        <w:widowControl w:val="0"/>
        <w:numPr>
          <w:ilvl w:val="0"/>
          <w:numId w:val="2"/>
        </w:numPr>
        <w:pBdr>
          <w:top w:val="nil"/>
          <w:left w:val="nil"/>
          <w:bottom w:val="nil"/>
          <w:right w:val="nil"/>
          <w:between w:val="nil"/>
        </w:pBdr>
        <w:spacing w:before="302" w:line="264" w:lineRule="auto"/>
        <w:ind w:right="431"/>
        <w:rPr>
          <w:color w:val="1F1923"/>
          <w:lang w:val="en-US"/>
        </w:rPr>
      </w:pPr>
      <w:r w:rsidRPr="00A84AA8">
        <w:rPr>
          <w:color w:val="1F1923"/>
          <w:u w:val="single"/>
          <w:lang w:val="en-US"/>
        </w:rPr>
        <w:t>Recommends</w:t>
      </w:r>
      <w:r w:rsidRPr="00A84AA8">
        <w:rPr>
          <w:color w:val="1F1923"/>
          <w:lang w:val="en-US"/>
        </w:rPr>
        <w:t xml:space="preserve"> the</w:t>
      </w:r>
      <w:r w:rsidRPr="000E36FF">
        <w:rPr>
          <w:color w:val="1F1923"/>
          <w:lang w:val="en-US"/>
        </w:rPr>
        <w:t xml:space="preserve"> creation of an International helpline, which will be managed by regional United Nations Offices, for Female Genitalia Mutilation victims on which: </w:t>
      </w:r>
    </w:p>
    <w:p w14:paraId="0000000B" w14:textId="1CB4C81B" w:rsidR="00957DA7" w:rsidRPr="000E36FF" w:rsidRDefault="00036E17" w:rsidP="00A84AA8">
      <w:pPr>
        <w:pStyle w:val="Listenabsatz"/>
        <w:widowControl w:val="0"/>
        <w:numPr>
          <w:ilvl w:val="1"/>
          <w:numId w:val="2"/>
        </w:numPr>
        <w:pBdr>
          <w:top w:val="nil"/>
          <w:left w:val="nil"/>
          <w:bottom w:val="nil"/>
          <w:right w:val="nil"/>
          <w:between w:val="nil"/>
        </w:pBdr>
        <w:spacing w:before="302" w:line="264" w:lineRule="auto"/>
        <w:ind w:right="431"/>
        <w:rPr>
          <w:color w:val="1F1923"/>
          <w:lang w:val="en-US"/>
        </w:rPr>
      </w:pPr>
      <w:r w:rsidRPr="000E36FF">
        <w:rPr>
          <w:color w:val="1F1923"/>
          <w:lang w:val="en-US"/>
        </w:rPr>
        <w:t xml:space="preserve">people may anonymously report to the UN clinics which perform the procedure to gather data on FGM/C, </w:t>
      </w:r>
    </w:p>
    <w:p w14:paraId="0000000C" w14:textId="186ABCC7" w:rsidR="00957DA7" w:rsidRPr="00A84AA8" w:rsidRDefault="00036E17" w:rsidP="00A84AA8">
      <w:pPr>
        <w:pStyle w:val="Listenabsatz"/>
        <w:widowControl w:val="0"/>
        <w:numPr>
          <w:ilvl w:val="1"/>
          <w:numId w:val="2"/>
        </w:numPr>
        <w:pBdr>
          <w:top w:val="nil"/>
          <w:left w:val="nil"/>
          <w:bottom w:val="nil"/>
          <w:right w:val="nil"/>
          <w:between w:val="nil"/>
        </w:pBdr>
        <w:spacing w:before="11" w:line="240" w:lineRule="auto"/>
        <w:rPr>
          <w:color w:val="1F1923"/>
          <w:lang w:val="en-US"/>
        </w:rPr>
      </w:pPr>
      <w:r w:rsidRPr="00A84AA8">
        <w:rPr>
          <w:color w:val="1F1923"/>
          <w:lang w:val="en-US"/>
        </w:rPr>
        <w:t xml:space="preserve">authorities may assist women in the state of vulnerability, </w:t>
      </w:r>
    </w:p>
    <w:p w14:paraId="50E6F46D" w14:textId="388BDFB1" w:rsidR="00A84AA8" w:rsidRDefault="00036E17" w:rsidP="00A84AA8">
      <w:pPr>
        <w:pStyle w:val="Listenabsatz"/>
        <w:widowControl w:val="0"/>
        <w:numPr>
          <w:ilvl w:val="1"/>
          <w:numId w:val="2"/>
        </w:numPr>
        <w:pBdr>
          <w:top w:val="nil"/>
          <w:left w:val="nil"/>
          <w:bottom w:val="nil"/>
          <w:right w:val="nil"/>
          <w:between w:val="nil"/>
        </w:pBdr>
        <w:spacing w:before="34" w:line="264" w:lineRule="auto"/>
        <w:ind w:right="198"/>
        <w:rPr>
          <w:color w:val="1F1923"/>
          <w:lang w:val="en-US"/>
        </w:rPr>
      </w:pPr>
      <w:r w:rsidRPr="00A84AA8">
        <w:rPr>
          <w:color w:val="1F1923"/>
          <w:lang w:val="en-US"/>
        </w:rPr>
        <w:t xml:space="preserve">adequate promotion of education and knowledge of the physical and mental hazards of FGM takes place; </w:t>
      </w:r>
    </w:p>
    <w:p w14:paraId="69115760" w14:textId="77777777" w:rsidR="00A84AA8" w:rsidRPr="00A84AA8" w:rsidRDefault="00A84AA8" w:rsidP="00A84AA8">
      <w:pPr>
        <w:pStyle w:val="Listenabsatz"/>
        <w:widowControl w:val="0"/>
        <w:pBdr>
          <w:top w:val="nil"/>
          <w:left w:val="nil"/>
          <w:bottom w:val="nil"/>
          <w:right w:val="nil"/>
          <w:between w:val="nil"/>
        </w:pBdr>
        <w:spacing w:before="34" w:line="264" w:lineRule="auto"/>
        <w:ind w:left="1468" w:right="198"/>
        <w:rPr>
          <w:color w:val="1F1923"/>
          <w:lang w:val="en-US"/>
        </w:rPr>
      </w:pPr>
    </w:p>
    <w:p w14:paraId="0000000E" w14:textId="3769E743" w:rsidR="00957DA7" w:rsidRDefault="00036E17" w:rsidP="00A84AA8">
      <w:pPr>
        <w:pStyle w:val="Listenabsatz"/>
        <w:widowControl w:val="0"/>
        <w:numPr>
          <w:ilvl w:val="0"/>
          <w:numId w:val="2"/>
        </w:numPr>
        <w:pBdr>
          <w:top w:val="nil"/>
          <w:left w:val="nil"/>
          <w:bottom w:val="nil"/>
          <w:right w:val="nil"/>
          <w:between w:val="nil"/>
        </w:pBdr>
        <w:spacing w:before="302" w:line="264" w:lineRule="auto"/>
        <w:ind w:right="20"/>
        <w:rPr>
          <w:color w:val="1F1923"/>
          <w:lang w:val="en-US"/>
        </w:rPr>
      </w:pPr>
      <w:r w:rsidRPr="00A84AA8">
        <w:rPr>
          <w:color w:val="1F1923"/>
          <w:u w:val="single"/>
          <w:lang w:val="en-US"/>
        </w:rPr>
        <w:t>Encourages</w:t>
      </w:r>
      <w:r w:rsidRPr="00A84AA8">
        <w:rPr>
          <w:color w:val="1F1923"/>
          <w:lang w:val="en-US"/>
        </w:rPr>
        <w:t xml:space="preserve"> countries where FGM/C procedures are held</w:t>
      </w:r>
      <w:r w:rsidR="00B00468">
        <w:rPr>
          <w:color w:val="1F1923"/>
          <w:lang w:val="en-US"/>
        </w:rPr>
        <w:t>,</w:t>
      </w:r>
      <w:r w:rsidRPr="00A84AA8">
        <w:rPr>
          <w:color w:val="1F1923"/>
          <w:lang w:val="en-US"/>
        </w:rPr>
        <w:t xml:space="preserve"> to put their best effort into providing accurate data about the number of active cases in order to create accurate and effective assistance policies; </w:t>
      </w:r>
    </w:p>
    <w:p w14:paraId="355A074E" w14:textId="77777777" w:rsidR="00A84AA8" w:rsidRPr="00A84AA8" w:rsidRDefault="00A84AA8" w:rsidP="00A84AA8">
      <w:pPr>
        <w:pStyle w:val="Listenabsatz"/>
        <w:widowControl w:val="0"/>
        <w:pBdr>
          <w:top w:val="nil"/>
          <w:left w:val="nil"/>
          <w:bottom w:val="nil"/>
          <w:right w:val="nil"/>
          <w:between w:val="nil"/>
        </w:pBdr>
        <w:spacing w:before="302" w:line="264" w:lineRule="auto"/>
        <w:ind w:left="748" w:right="20"/>
        <w:rPr>
          <w:color w:val="1F1923"/>
          <w:lang w:val="en-US"/>
        </w:rPr>
      </w:pPr>
    </w:p>
    <w:p w14:paraId="564768F8" w14:textId="51A09A6B" w:rsidR="00A84AA8" w:rsidRPr="00A84AA8" w:rsidRDefault="00036E17" w:rsidP="00A84AA8">
      <w:pPr>
        <w:pStyle w:val="Listenabsatz"/>
        <w:widowControl w:val="0"/>
        <w:numPr>
          <w:ilvl w:val="0"/>
          <w:numId w:val="2"/>
        </w:numPr>
        <w:pBdr>
          <w:top w:val="nil"/>
          <w:left w:val="nil"/>
          <w:bottom w:val="nil"/>
          <w:right w:val="nil"/>
          <w:between w:val="nil"/>
        </w:pBdr>
        <w:spacing w:before="302" w:line="264" w:lineRule="auto"/>
        <w:rPr>
          <w:color w:val="1F1923"/>
          <w:lang w:val="en-US"/>
        </w:rPr>
      </w:pPr>
      <w:r w:rsidRPr="00A84AA8">
        <w:rPr>
          <w:color w:val="1F1923"/>
          <w:u w:val="single"/>
          <w:lang w:val="en-US"/>
        </w:rPr>
        <w:t>Calls upon</w:t>
      </w:r>
      <w:r w:rsidRPr="00A84AA8">
        <w:rPr>
          <w:color w:val="1F1923"/>
          <w:lang w:val="en-US"/>
        </w:rPr>
        <w:t xml:space="preserve"> the World Health Organization as well as further international</w:t>
      </w:r>
      <w:r w:rsidR="00B00468">
        <w:rPr>
          <w:color w:val="1F1923"/>
          <w:lang w:val="en-US"/>
        </w:rPr>
        <w:t xml:space="preserve"> organizations</w:t>
      </w:r>
      <w:r w:rsidR="00235B44">
        <w:rPr>
          <w:color w:val="1F1923"/>
          <w:lang w:val="en-US"/>
        </w:rPr>
        <w:t xml:space="preserve">, </w:t>
      </w:r>
      <w:r w:rsidRPr="00A84AA8">
        <w:rPr>
          <w:color w:val="1F1923"/>
          <w:lang w:val="en-US"/>
        </w:rPr>
        <w:t xml:space="preserve">national NGOs, and local initiatives to establish FGM/C sections in existing and new </w:t>
      </w:r>
      <w:r w:rsidRPr="00A84AA8">
        <w:rPr>
          <w:color w:val="1F1923"/>
          <w:lang w:val="en-US"/>
        </w:rPr>
        <w:lastRenderedPageBreak/>
        <w:t xml:space="preserve">clinics, as well as to provide home care services; </w:t>
      </w:r>
    </w:p>
    <w:p w14:paraId="158CD155" w14:textId="77777777" w:rsidR="00A84AA8" w:rsidRPr="00A84AA8" w:rsidRDefault="00A84AA8" w:rsidP="00A84AA8">
      <w:pPr>
        <w:pStyle w:val="Listenabsatz"/>
        <w:widowControl w:val="0"/>
        <w:pBdr>
          <w:top w:val="nil"/>
          <w:left w:val="nil"/>
          <w:bottom w:val="nil"/>
          <w:right w:val="nil"/>
          <w:between w:val="nil"/>
        </w:pBdr>
        <w:spacing w:before="302" w:line="264" w:lineRule="auto"/>
        <w:ind w:left="748"/>
        <w:rPr>
          <w:color w:val="1F1923"/>
          <w:lang w:val="en-US"/>
        </w:rPr>
      </w:pPr>
    </w:p>
    <w:p w14:paraId="3B6B7C97" w14:textId="11DECAF7" w:rsidR="00A84AA8" w:rsidRPr="00A84AA8" w:rsidRDefault="00036E17" w:rsidP="00A84AA8">
      <w:pPr>
        <w:pStyle w:val="Listenabsatz"/>
        <w:widowControl w:val="0"/>
        <w:numPr>
          <w:ilvl w:val="0"/>
          <w:numId w:val="2"/>
        </w:numPr>
        <w:pBdr>
          <w:top w:val="nil"/>
          <w:left w:val="nil"/>
          <w:bottom w:val="nil"/>
          <w:right w:val="nil"/>
          <w:between w:val="nil"/>
        </w:pBdr>
        <w:spacing w:before="302" w:line="264" w:lineRule="auto"/>
        <w:ind w:right="259"/>
        <w:rPr>
          <w:color w:val="1F1923"/>
          <w:lang w:val="en-US"/>
        </w:rPr>
      </w:pPr>
      <w:r w:rsidRPr="005C3B9A">
        <w:rPr>
          <w:u w:val="single"/>
          <w:lang w:val="en-US"/>
        </w:rPr>
        <w:t>Designates</w:t>
      </w:r>
      <w:r w:rsidRPr="005C3B9A">
        <w:rPr>
          <w:lang w:val="en-US"/>
        </w:rPr>
        <w:t xml:space="preserve"> </w:t>
      </w:r>
      <w:r w:rsidRPr="00A84AA8">
        <w:rPr>
          <w:color w:val="1F1923"/>
          <w:lang w:val="en-US"/>
        </w:rPr>
        <w:t xml:space="preserve">local and international NGOs and other relevant groups to guide and assist governments and their apparatus in recognizing the hazards of FGM/C procedures and promoting policies to physically and emotionally assist victims and prevent further cases; </w:t>
      </w:r>
    </w:p>
    <w:p w14:paraId="0B579E95" w14:textId="77777777" w:rsidR="00A84AA8" w:rsidRPr="00A84AA8" w:rsidRDefault="00A84AA8" w:rsidP="00A84AA8">
      <w:pPr>
        <w:pStyle w:val="Listenabsatz"/>
        <w:widowControl w:val="0"/>
        <w:pBdr>
          <w:top w:val="nil"/>
          <w:left w:val="nil"/>
          <w:bottom w:val="nil"/>
          <w:right w:val="nil"/>
          <w:between w:val="nil"/>
        </w:pBdr>
        <w:spacing w:before="302" w:line="264" w:lineRule="auto"/>
        <w:ind w:left="748" w:right="259"/>
        <w:rPr>
          <w:color w:val="1F1923"/>
          <w:lang w:val="en-US"/>
        </w:rPr>
      </w:pPr>
    </w:p>
    <w:p w14:paraId="3994C8D3" w14:textId="5E058CA2" w:rsidR="00C45837" w:rsidRPr="00C45837" w:rsidRDefault="00036E17" w:rsidP="00C45837">
      <w:pPr>
        <w:pStyle w:val="Listenabsatz"/>
        <w:widowControl w:val="0"/>
        <w:numPr>
          <w:ilvl w:val="0"/>
          <w:numId w:val="2"/>
        </w:numPr>
        <w:pBdr>
          <w:top w:val="nil"/>
          <w:left w:val="nil"/>
          <w:bottom w:val="nil"/>
          <w:right w:val="nil"/>
          <w:between w:val="nil"/>
        </w:pBdr>
        <w:spacing w:before="302" w:line="264" w:lineRule="auto"/>
        <w:ind w:right="129"/>
        <w:rPr>
          <w:color w:val="1F1923"/>
          <w:lang w:val="en-US"/>
        </w:rPr>
      </w:pPr>
      <w:r w:rsidRPr="001909C5">
        <w:rPr>
          <w:color w:val="1F1923"/>
          <w:u w:val="single"/>
          <w:lang w:val="en-US"/>
        </w:rPr>
        <w:t>Further designates</w:t>
      </w:r>
      <w:r w:rsidRPr="001909C5">
        <w:rPr>
          <w:color w:val="1F1923"/>
          <w:lang w:val="en-US"/>
        </w:rPr>
        <w:t xml:space="preserve"> also the same actors to assist, educate and guide health workers and </w:t>
      </w:r>
      <w:r w:rsidR="000E36FF" w:rsidRPr="001909C5">
        <w:rPr>
          <w:color w:val="1F1923"/>
          <w:lang w:val="en-US"/>
        </w:rPr>
        <w:t>non-medical</w:t>
      </w:r>
      <w:r w:rsidRPr="001909C5">
        <w:rPr>
          <w:color w:val="1F1923"/>
          <w:lang w:val="en-US"/>
        </w:rPr>
        <w:t xml:space="preserve"> personnel who were and are responsible for the FGM/C procedures</w:t>
      </w:r>
      <w:r w:rsidR="001909C5">
        <w:rPr>
          <w:color w:val="1F1923"/>
          <w:lang w:val="en-US"/>
        </w:rPr>
        <w:t xml:space="preserve"> </w:t>
      </w:r>
      <w:r w:rsidRPr="001909C5">
        <w:rPr>
          <w:color w:val="1F1923"/>
          <w:lang w:val="en-US"/>
        </w:rPr>
        <w:t xml:space="preserve">in order to repurpose their medical activity for the improvement of the life of </w:t>
      </w:r>
      <w:r w:rsidR="000E36FF" w:rsidRPr="001909C5">
        <w:rPr>
          <w:color w:val="1F1923"/>
          <w:lang w:val="en-US"/>
        </w:rPr>
        <w:t>previous</w:t>
      </w:r>
      <w:r w:rsidRPr="001909C5">
        <w:rPr>
          <w:color w:val="1F1923"/>
          <w:lang w:val="en-US"/>
        </w:rPr>
        <w:t xml:space="preserve"> victims; </w:t>
      </w:r>
    </w:p>
    <w:p w14:paraId="19ED2442" w14:textId="77777777" w:rsidR="00C45837" w:rsidRPr="001909C5" w:rsidRDefault="00C45837" w:rsidP="00C45837">
      <w:pPr>
        <w:pStyle w:val="Listenabsatz"/>
        <w:widowControl w:val="0"/>
        <w:pBdr>
          <w:top w:val="nil"/>
          <w:left w:val="nil"/>
          <w:bottom w:val="nil"/>
          <w:right w:val="nil"/>
          <w:between w:val="nil"/>
        </w:pBdr>
        <w:spacing w:before="302" w:line="264" w:lineRule="auto"/>
        <w:ind w:left="748" w:right="129"/>
        <w:rPr>
          <w:color w:val="1F1923"/>
          <w:lang w:val="en-US"/>
        </w:rPr>
      </w:pPr>
    </w:p>
    <w:p w14:paraId="00000013" w14:textId="7EBC9F8A" w:rsidR="00957DA7" w:rsidRPr="00A84AA8" w:rsidRDefault="00036E17" w:rsidP="00A84AA8">
      <w:pPr>
        <w:pStyle w:val="Listenabsatz"/>
        <w:widowControl w:val="0"/>
        <w:numPr>
          <w:ilvl w:val="0"/>
          <w:numId w:val="2"/>
        </w:numPr>
        <w:pBdr>
          <w:top w:val="nil"/>
          <w:left w:val="nil"/>
          <w:bottom w:val="nil"/>
          <w:right w:val="nil"/>
          <w:between w:val="nil"/>
        </w:pBdr>
        <w:spacing w:before="302" w:line="264" w:lineRule="auto"/>
        <w:ind w:right="88"/>
        <w:rPr>
          <w:color w:val="1F1923"/>
          <w:lang w:val="en-US"/>
        </w:rPr>
      </w:pPr>
      <w:r w:rsidRPr="001909C5">
        <w:rPr>
          <w:color w:val="1F1923"/>
          <w:u w:val="single"/>
          <w:lang w:val="en-US"/>
        </w:rPr>
        <w:t>Incentivizes, supports and reaffirms</w:t>
      </w:r>
      <w:r w:rsidRPr="00A84AA8">
        <w:rPr>
          <w:color w:val="1F1923"/>
          <w:lang w:val="en-US"/>
        </w:rPr>
        <w:t xml:space="preserve"> countries to educate their population about the hazards FGM/C procedures bring to women who are victims in order to educate and bring social awareness on the topic, as an effort to diminish further cases of FGM/C in future generations through: </w:t>
      </w:r>
    </w:p>
    <w:p w14:paraId="00000014" w14:textId="35DDBE47" w:rsidR="00957DA7" w:rsidRPr="00C45837" w:rsidRDefault="00036E17" w:rsidP="00C45837">
      <w:pPr>
        <w:pStyle w:val="Listenabsatz"/>
        <w:widowControl w:val="0"/>
        <w:numPr>
          <w:ilvl w:val="1"/>
          <w:numId w:val="5"/>
        </w:numPr>
        <w:pBdr>
          <w:top w:val="nil"/>
          <w:left w:val="nil"/>
          <w:bottom w:val="nil"/>
          <w:right w:val="nil"/>
          <w:between w:val="nil"/>
        </w:pBdr>
        <w:spacing w:before="11" w:line="240" w:lineRule="auto"/>
        <w:rPr>
          <w:color w:val="1F1923"/>
          <w:lang w:val="en-US"/>
        </w:rPr>
      </w:pPr>
      <w:r w:rsidRPr="00C45837">
        <w:rPr>
          <w:color w:val="1F1923"/>
          <w:lang w:val="en-US"/>
        </w:rPr>
        <w:t xml:space="preserve">nationwide radio stations, </w:t>
      </w:r>
    </w:p>
    <w:p w14:paraId="00000015" w14:textId="22B80A0B" w:rsidR="00957DA7" w:rsidRPr="00C45837" w:rsidRDefault="00036E17" w:rsidP="00C45837">
      <w:pPr>
        <w:pStyle w:val="Listenabsatz"/>
        <w:widowControl w:val="0"/>
        <w:numPr>
          <w:ilvl w:val="1"/>
          <w:numId w:val="5"/>
        </w:numPr>
        <w:pBdr>
          <w:top w:val="nil"/>
          <w:left w:val="nil"/>
          <w:bottom w:val="nil"/>
          <w:right w:val="nil"/>
          <w:between w:val="nil"/>
        </w:pBdr>
        <w:spacing w:before="34" w:line="264" w:lineRule="auto"/>
        <w:ind w:right="415"/>
        <w:rPr>
          <w:color w:val="1F1923"/>
          <w:lang w:val="en-US"/>
        </w:rPr>
      </w:pPr>
      <w:r w:rsidRPr="00C45837">
        <w:rPr>
          <w:color w:val="1F1923"/>
          <w:lang w:val="en-US"/>
        </w:rPr>
        <w:t xml:space="preserve">workshops taught by qualified local personnel for everyone irrespective of gender and age, </w:t>
      </w:r>
    </w:p>
    <w:p w14:paraId="00000016" w14:textId="710F42C8" w:rsidR="00957DA7" w:rsidRPr="00C45837" w:rsidRDefault="00036E17" w:rsidP="00C45837">
      <w:pPr>
        <w:pStyle w:val="Listenabsatz"/>
        <w:widowControl w:val="0"/>
        <w:numPr>
          <w:ilvl w:val="1"/>
          <w:numId w:val="5"/>
        </w:numPr>
        <w:pBdr>
          <w:top w:val="nil"/>
          <w:left w:val="nil"/>
          <w:bottom w:val="nil"/>
          <w:right w:val="nil"/>
          <w:between w:val="nil"/>
        </w:pBdr>
        <w:spacing w:before="11" w:line="240" w:lineRule="auto"/>
        <w:rPr>
          <w:color w:val="1F1923"/>
          <w:lang w:val="en-US"/>
        </w:rPr>
      </w:pPr>
      <w:r w:rsidRPr="00C45837">
        <w:rPr>
          <w:color w:val="1F1923"/>
          <w:lang w:val="en-US"/>
        </w:rPr>
        <w:t xml:space="preserve">national educational institutions, </w:t>
      </w:r>
    </w:p>
    <w:p w14:paraId="00000017" w14:textId="6EF4BDC4" w:rsidR="00957DA7" w:rsidRDefault="00036E17" w:rsidP="00C45837">
      <w:pPr>
        <w:pStyle w:val="Listenabsatz"/>
        <w:widowControl w:val="0"/>
        <w:numPr>
          <w:ilvl w:val="1"/>
          <w:numId w:val="5"/>
        </w:numPr>
        <w:pBdr>
          <w:top w:val="nil"/>
          <w:left w:val="nil"/>
          <w:bottom w:val="nil"/>
          <w:right w:val="nil"/>
          <w:between w:val="nil"/>
        </w:pBdr>
        <w:spacing w:before="34" w:line="264" w:lineRule="auto"/>
        <w:ind w:right="358"/>
        <w:rPr>
          <w:color w:val="1F1923"/>
          <w:lang w:val="en-US"/>
        </w:rPr>
      </w:pPr>
      <w:r w:rsidRPr="00C45837">
        <w:rPr>
          <w:color w:val="1F1923"/>
          <w:lang w:val="en-US"/>
        </w:rPr>
        <w:t xml:space="preserve">dissolving of misguided myths that female genital mutilation has a basis in religion, by the religious leaders; </w:t>
      </w:r>
    </w:p>
    <w:p w14:paraId="3E210B2E" w14:textId="77777777" w:rsidR="00C45837" w:rsidRPr="00C45837" w:rsidRDefault="00C45837" w:rsidP="00C45837">
      <w:pPr>
        <w:pStyle w:val="Listenabsatz"/>
        <w:widowControl w:val="0"/>
        <w:pBdr>
          <w:top w:val="nil"/>
          <w:left w:val="nil"/>
          <w:bottom w:val="nil"/>
          <w:right w:val="nil"/>
          <w:between w:val="nil"/>
        </w:pBdr>
        <w:spacing w:before="34" w:line="264" w:lineRule="auto"/>
        <w:ind w:right="358"/>
        <w:rPr>
          <w:color w:val="1F1923"/>
          <w:lang w:val="en-US"/>
        </w:rPr>
      </w:pPr>
    </w:p>
    <w:p w14:paraId="00000018" w14:textId="1473E800" w:rsidR="00957DA7" w:rsidRPr="00A84AA8" w:rsidRDefault="00036E17" w:rsidP="00A84AA8">
      <w:pPr>
        <w:pStyle w:val="Listenabsatz"/>
        <w:widowControl w:val="0"/>
        <w:numPr>
          <w:ilvl w:val="0"/>
          <w:numId w:val="2"/>
        </w:numPr>
        <w:pBdr>
          <w:top w:val="nil"/>
          <w:left w:val="nil"/>
          <w:bottom w:val="nil"/>
          <w:right w:val="nil"/>
          <w:between w:val="nil"/>
        </w:pBdr>
        <w:spacing w:before="593" w:line="264" w:lineRule="auto"/>
        <w:ind w:right="209"/>
        <w:rPr>
          <w:color w:val="1F1923"/>
          <w:lang w:val="en-US"/>
        </w:rPr>
      </w:pPr>
      <w:r w:rsidRPr="00A84AA8">
        <w:rPr>
          <w:color w:val="1F1923"/>
          <w:u w:val="single"/>
          <w:lang w:val="en-US"/>
        </w:rPr>
        <w:t>Further recommends</w:t>
      </w:r>
      <w:r w:rsidRPr="00A84AA8">
        <w:rPr>
          <w:color w:val="1F1923"/>
          <w:lang w:val="en-US"/>
        </w:rPr>
        <w:t xml:space="preserve"> national and local transparent action plans including budget lines dedicated to comprehensive sexual and reproductive health, education, social welfare and legal services to eliminate FGM/C whilst: </w:t>
      </w:r>
    </w:p>
    <w:p w14:paraId="00000019" w14:textId="2ECF2543" w:rsidR="00957DA7" w:rsidRPr="00C45837" w:rsidRDefault="00036E17" w:rsidP="00C45837">
      <w:pPr>
        <w:pStyle w:val="Listenabsatz"/>
        <w:widowControl w:val="0"/>
        <w:numPr>
          <w:ilvl w:val="1"/>
          <w:numId w:val="7"/>
        </w:numPr>
        <w:pBdr>
          <w:top w:val="nil"/>
          <w:left w:val="nil"/>
          <w:bottom w:val="nil"/>
          <w:right w:val="nil"/>
          <w:between w:val="nil"/>
        </w:pBdr>
        <w:spacing w:before="11" w:line="240" w:lineRule="auto"/>
        <w:rPr>
          <w:color w:val="1F1923"/>
          <w:lang w:val="en-US"/>
        </w:rPr>
      </w:pPr>
      <w:r w:rsidRPr="00C45837">
        <w:rPr>
          <w:color w:val="1F1923"/>
          <w:lang w:val="en-US"/>
        </w:rPr>
        <w:t xml:space="preserve">opening a fund, </w:t>
      </w:r>
    </w:p>
    <w:p w14:paraId="0000001A" w14:textId="14B6AAAC" w:rsidR="00957DA7" w:rsidRDefault="00036E17" w:rsidP="00C45837">
      <w:pPr>
        <w:pStyle w:val="Listenabsatz"/>
        <w:widowControl w:val="0"/>
        <w:numPr>
          <w:ilvl w:val="1"/>
          <w:numId w:val="7"/>
        </w:numPr>
        <w:pBdr>
          <w:top w:val="nil"/>
          <w:left w:val="nil"/>
          <w:bottom w:val="nil"/>
          <w:right w:val="nil"/>
          <w:between w:val="nil"/>
        </w:pBdr>
        <w:spacing w:before="34" w:line="240" w:lineRule="auto"/>
        <w:rPr>
          <w:color w:val="1F1923"/>
          <w:lang w:val="en-US"/>
        </w:rPr>
      </w:pPr>
      <w:r w:rsidRPr="00C45837">
        <w:rPr>
          <w:color w:val="1F1923"/>
          <w:lang w:val="en-US"/>
        </w:rPr>
        <w:t xml:space="preserve">accepting donations; </w:t>
      </w:r>
    </w:p>
    <w:p w14:paraId="3EBE3C7C" w14:textId="77777777" w:rsidR="00C45837" w:rsidRPr="00C45837" w:rsidRDefault="00C45837" w:rsidP="00C45837">
      <w:pPr>
        <w:pStyle w:val="Listenabsatz"/>
        <w:widowControl w:val="0"/>
        <w:pBdr>
          <w:top w:val="nil"/>
          <w:left w:val="nil"/>
          <w:bottom w:val="nil"/>
          <w:right w:val="nil"/>
          <w:between w:val="nil"/>
        </w:pBdr>
        <w:spacing w:before="34" w:line="240" w:lineRule="auto"/>
        <w:rPr>
          <w:color w:val="1F1923"/>
          <w:lang w:val="en-US"/>
        </w:rPr>
      </w:pPr>
    </w:p>
    <w:p w14:paraId="0000001B" w14:textId="35084061" w:rsidR="00957DA7" w:rsidRDefault="00036E17" w:rsidP="00A84AA8">
      <w:pPr>
        <w:pStyle w:val="Listenabsatz"/>
        <w:widowControl w:val="0"/>
        <w:numPr>
          <w:ilvl w:val="0"/>
          <w:numId w:val="2"/>
        </w:numPr>
        <w:pBdr>
          <w:top w:val="nil"/>
          <w:left w:val="nil"/>
          <w:bottom w:val="nil"/>
          <w:right w:val="nil"/>
          <w:between w:val="nil"/>
        </w:pBdr>
        <w:spacing w:before="325" w:line="264" w:lineRule="auto"/>
        <w:ind w:right="100"/>
        <w:rPr>
          <w:color w:val="1F1923"/>
          <w:lang w:val="en-US"/>
        </w:rPr>
      </w:pPr>
      <w:r w:rsidRPr="00A84AA8">
        <w:rPr>
          <w:color w:val="1F1923"/>
          <w:u w:val="single"/>
          <w:lang w:val="en-US"/>
        </w:rPr>
        <w:t>Endorses</w:t>
      </w:r>
      <w:r w:rsidRPr="00A84AA8">
        <w:rPr>
          <w:color w:val="1F1923"/>
          <w:lang w:val="en-US"/>
        </w:rPr>
        <w:t xml:space="preserve"> and extends support to countries where FGM/C is a widespread issue to provide the right public physical, psychological, and social assistance to women and girls who were submitted to a FGM/C procedure; </w:t>
      </w:r>
    </w:p>
    <w:p w14:paraId="189A9CC9" w14:textId="77777777" w:rsidR="00A84AA8" w:rsidRPr="00A84AA8" w:rsidRDefault="00A84AA8" w:rsidP="00A84AA8">
      <w:pPr>
        <w:pStyle w:val="Listenabsatz"/>
        <w:widowControl w:val="0"/>
        <w:pBdr>
          <w:top w:val="nil"/>
          <w:left w:val="nil"/>
          <w:bottom w:val="nil"/>
          <w:right w:val="nil"/>
          <w:between w:val="nil"/>
        </w:pBdr>
        <w:spacing w:before="325" w:line="264" w:lineRule="auto"/>
        <w:ind w:left="748" w:right="100"/>
        <w:rPr>
          <w:color w:val="1F1923"/>
          <w:lang w:val="en-US"/>
        </w:rPr>
      </w:pPr>
    </w:p>
    <w:p w14:paraId="19EF333E" w14:textId="00B4D132" w:rsidR="00A84AA8" w:rsidRPr="00A84AA8" w:rsidRDefault="00036E17" w:rsidP="00A84AA8">
      <w:pPr>
        <w:pStyle w:val="Listenabsatz"/>
        <w:widowControl w:val="0"/>
        <w:numPr>
          <w:ilvl w:val="0"/>
          <w:numId w:val="2"/>
        </w:numPr>
        <w:pBdr>
          <w:top w:val="nil"/>
          <w:left w:val="nil"/>
          <w:bottom w:val="nil"/>
          <w:right w:val="nil"/>
          <w:between w:val="nil"/>
        </w:pBdr>
        <w:spacing w:before="302" w:line="264" w:lineRule="auto"/>
        <w:ind w:right="88"/>
        <w:rPr>
          <w:color w:val="1F1923"/>
          <w:lang w:val="en-US"/>
        </w:rPr>
      </w:pPr>
      <w:r w:rsidRPr="00440414">
        <w:rPr>
          <w:u w:val="single"/>
          <w:lang w:val="en-US"/>
        </w:rPr>
        <w:t>Incentivizes</w:t>
      </w:r>
      <w:r w:rsidRPr="00440414">
        <w:rPr>
          <w:lang w:val="en-US"/>
        </w:rPr>
        <w:t xml:space="preserve"> </w:t>
      </w:r>
      <w:r w:rsidRPr="00A84AA8">
        <w:rPr>
          <w:color w:val="1F1923"/>
          <w:lang w:val="en-US"/>
        </w:rPr>
        <w:t>everyone to familiarize themselves with signs and symptoms of FGM/C and how to adequately react to it. Especially, customs</w:t>
      </w:r>
      <w:r w:rsidR="00C45837">
        <w:rPr>
          <w:color w:val="1F1923"/>
          <w:lang w:val="en-US"/>
        </w:rPr>
        <w:t xml:space="preserve"> agents</w:t>
      </w:r>
      <w:r w:rsidRPr="00A84AA8">
        <w:rPr>
          <w:color w:val="1F1923"/>
          <w:lang w:val="en-US"/>
        </w:rPr>
        <w:t xml:space="preserve"> should be aware of signs to preventing the movement of girls and women across borders when the purpose is to get them into countries with less restrictive female genital mutilation laws; </w:t>
      </w:r>
    </w:p>
    <w:p w14:paraId="69165CB3" w14:textId="77777777" w:rsidR="00A84AA8" w:rsidRPr="00A84AA8" w:rsidRDefault="00A84AA8" w:rsidP="00A84AA8">
      <w:pPr>
        <w:pStyle w:val="Listenabsatz"/>
        <w:widowControl w:val="0"/>
        <w:pBdr>
          <w:top w:val="nil"/>
          <w:left w:val="nil"/>
          <w:bottom w:val="nil"/>
          <w:right w:val="nil"/>
          <w:between w:val="nil"/>
        </w:pBdr>
        <w:spacing w:before="302" w:line="264" w:lineRule="auto"/>
        <w:ind w:left="748" w:right="88"/>
        <w:rPr>
          <w:color w:val="1F1923"/>
          <w:lang w:val="en-US"/>
        </w:rPr>
      </w:pPr>
    </w:p>
    <w:p w14:paraId="7192C58A" w14:textId="10891C69" w:rsidR="00A84AA8" w:rsidRPr="00A84AA8" w:rsidRDefault="00036E17" w:rsidP="00A84AA8">
      <w:pPr>
        <w:pStyle w:val="Listenabsatz"/>
        <w:widowControl w:val="0"/>
        <w:numPr>
          <w:ilvl w:val="0"/>
          <w:numId w:val="2"/>
        </w:numPr>
        <w:pBdr>
          <w:top w:val="nil"/>
          <w:left w:val="nil"/>
          <w:bottom w:val="nil"/>
          <w:right w:val="nil"/>
          <w:between w:val="nil"/>
        </w:pBdr>
        <w:spacing w:before="302" w:line="264" w:lineRule="auto"/>
        <w:ind w:right="254"/>
        <w:rPr>
          <w:color w:val="1F1923"/>
          <w:lang w:val="en-US"/>
        </w:rPr>
      </w:pPr>
      <w:r w:rsidRPr="00A84AA8">
        <w:rPr>
          <w:color w:val="1F1923"/>
          <w:u w:val="single"/>
          <w:lang w:val="en-US"/>
        </w:rPr>
        <w:t>Emphasizes</w:t>
      </w:r>
      <w:r w:rsidRPr="00A84AA8">
        <w:rPr>
          <w:color w:val="1F1923"/>
          <w:lang w:val="en-US"/>
        </w:rPr>
        <w:t xml:space="preserve"> the elimination of social and economic dependency on the FGM/C practice and therefore improves women’s access to education as well as enhances female economic empowerment; </w:t>
      </w:r>
    </w:p>
    <w:p w14:paraId="6D3A5319" w14:textId="77777777" w:rsidR="00A84AA8" w:rsidRPr="00A84AA8" w:rsidRDefault="00A84AA8" w:rsidP="00A84AA8">
      <w:pPr>
        <w:pStyle w:val="Listenabsatz"/>
        <w:widowControl w:val="0"/>
        <w:pBdr>
          <w:top w:val="nil"/>
          <w:left w:val="nil"/>
          <w:bottom w:val="nil"/>
          <w:right w:val="nil"/>
          <w:between w:val="nil"/>
        </w:pBdr>
        <w:spacing w:before="302" w:line="264" w:lineRule="auto"/>
        <w:ind w:left="748" w:right="254"/>
        <w:rPr>
          <w:color w:val="1F1923"/>
          <w:lang w:val="en-US"/>
        </w:rPr>
      </w:pPr>
    </w:p>
    <w:p w14:paraId="297D609F" w14:textId="21EA4E4B" w:rsidR="001A0298" w:rsidRPr="001A0298" w:rsidRDefault="00036E17" w:rsidP="001A0298">
      <w:pPr>
        <w:pStyle w:val="Listenabsatz"/>
        <w:widowControl w:val="0"/>
        <w:numPr>
          <w:ilvl w:val="0"/>
          <w:numId w:val="2"/>
        </w:numPr>
        <w:pBdr>
          <w:top w:val="nil"/>
          <w:left w:val="nil"/>
          <w:bottom w:val="nil"/>
          <w:right w:val="nil"/>
          <w:between w:val="nil"/>
        </w:pBdr>
        <w:spacing w:before="302" w:line="264" w:lineRule="auto"/>
        <w:ind w:right="71"/>
        <w:rPr>
          <w:color w:val="1F1923"/>
          <w:lang w:val="en-US"/>
        </w:rPr>
      </w:pPr>
      <w:r w:rsidRPr="00A84AA8">
        <w:rPr>
          <w:color w:val="1F1923"/>
          <w:u w:val="single"/>
          <w:lang w:val="en-US"/>
        </w:rPr>
        <w:t>Further encourages</w:t>
      </w:r>
      <w:r w:rsidRPr="00A84AA8">
        <w:rPr>
          <w:color w:val="1F1923"/>
          <w:lang w:val="en-US"/>
        </w:rPr>
        <w:t xml:space="preserve"> all states to adopt policies prohibiting FGM/C (apart from Type 4 if it is proven the treatment is without any women’s sexual health disadvantages) and supports all states in passing such laws. In addition, the United Nations deplores all states of continuing the practice of harmful FGM/C or not working towards its elimination</w:t>
      </w:r>
      <w:r w:rsidR="00A371A8" w:rsidRPr="00A84AA8">
        <w:rPr>
          <w:color w:val="1F1923"/>
          <w:lang w:val="en-US"/>
        </w:rPr>
        <w:t>;</w:t>
      </w:r>
    </w:p>
    <w:p w14:paraId="2C0DD3A6" w14:textId="77777777" w:rsidR="001A0298" w:rsidRPr="00A84AA8" w:rsidRDefault="001A0298" w:rsidP="001A0298">
      <w:pPr>
        <w:pStyle w:val="Listenabsatz"/>
        <w:widowControl w:val="0"/>
        <w:pBdr>
          <w:top w:val="nil"/>
          <w:left w:val="nil"/>
          <w:bottom w:val="nil"/>
          <w:right w:val="nil"/>
          <w:between w:val="nil"/>
        </w:pBdr>
        <w:spacing w:before="302" w:line="264" w:lineRule="auto"/>
        <w:ind w:left="748" w:right="71"/>
        <w:rPr>
          <w:color w:val="1F1923"/>
          <w:lang w:val="en-US"/>
        </w:rPr>
      </w:pPr>
    </w:p>
    <w:p w14:paraId="0000001F" w14:textId="06564EC8" w:rsidR="00957DA7" w:rsidRPr="00036E17" w:rsidRDefault="00A371A8" w:rsidP="00036E17">
      <w:pPr>
        <w:pStyle w:val="Listenabsatz"/>
        <w:widowControl w:val="0"/>
        <w:numPr>
          <w:ilvl w:val="0"/>
          <w:numId w:val="2"/>
        </w:numPr>
        <w:pBdr>
          <w:top w:val="nil"/>
          <w:left w:val="nil"/>
          <w:bottom w:val="nil"/>
          <w:right w:val="nil"/>
          <w:between w:val="nil"/>
        </w:pBdr>
        <w:spacing w:before="302" w:line="264" w:lineRule="auto"/>
        <w:ind w:right="71"/>
        <w:rPr>
          <w:color w:val="1F1923"/>
          <w:lang w:val="en-US"/>
        </w:rPr>
      </w:pPr>
      <w:r w:rsidRPr="00300055">
        <w:rPr>
          <w:color w:val="1F1923"/>
          <w:u w:val="single"/>
          <w:lang w:val="en-US"/>
        </w:rPr>
        <w:t>Decides</w:t>
      </w:r>
      <w:r w:rsidRPr="00A84AA8">
        <w:rPr>
          <w:color w:val="1F1923"/>
          <w:lang w:val="en-US"/>
        </w:rPr>
        <w:t xml:space="preserve"> to remain actively seized on the matter.</w:t>
      </w:r>
    </w:p>
    <w:sectPr w:rsidR="00957DA7" w:rsidRPr="00036E17">
      <w:pgSz w:w="11920" w:h="16840"/>
      <w:pgMar w:top="1426" w:right="1455" w:bottom="1520" w:left="143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0BA5"/>
    <w:multiLevelType w:val="hybridMultilevel"/>
    <w:tmpl w:val="C966F3DE"/>
    <w:lvl w:ilvl="0" w:tplc="697AF29A">
      <w:start w:val="1"/>
      <w:numFmt w:val="decimal"/>
      <w:lvlText w:val="%1."/>
      <w:lvlJc w:val="left"/>
      <w:pPr>
        <w:ind w:left="1121" w:hanging="360"/>
      </w:pPr>
      <w:rPr>
        <w:rFonts w:hint="default"/>
      </w:rPr>
    </w:lvl>
    <w:lvl w:ilvl="1" w:tplc="04070019" w:tentative="1">
      <w:start w:val="1"/>
      <w:numFmt w:val="lowerLetter"/>
      <w:lvlText w:val="%2."/>
      <w:lvlJc w:val="left"/>
      <w:pPr>
        <w:ind w:left="1813" w:hanging="360"/>
      </w:pPr>
    </w:lvl>
    <w:lvl w:ilvl="2" w:tplc="0407001B" w:tentative="1">
      <w:start w:val="1"/>
      <w:numFmt w:val="lowerRoman"/>
      <w:lvlText w:val="%3."/>
      <w:lvlJc w:val="right"/>
      <w:pPr>
        <w:ind w:left="2533" w:hanging="180"/>
      </w:pPr>
    </w:lvl>
    <w:lvl w:ilvl="3" w:tplc="0407000F" w:tentative="1">
      <w:start w:val="1"/>
      <w:numFmt w:val="decimal"/>
      <w:lvlText w:val="%4."/>
      <w:lvlJc w:val="left"/>
      <w:pPr>
        <w:ind w:left="3253" w:hanging="360"/>
      </w:pPr>
    </w:lvl>
    <w:lvl w:ilvl="4" w:tplc="04070019" w:tentative="1">
      <w:start w:val="1"/>
      <w:numFmt w:val="lowerLetter"/>
      <w:lvlText w:val="%5."/>
      <w:lvlJc w:val="left"/>
      <w:pPr>
        <w:ind w:left="3973" w:hanging="360"/>
      </w:pPr>
    </w:lvl>
    <w:lvl w:ilvl="5" w:tplc="0407001B" w:tentative="1">
      <w:start w:val="1"/>
      <w:numFmt w:val="lowerRoman"/>
      <w:lvlText w:val="%6."/>
      <w:lvlJc w:val="right"/>
      <w:pPr>
        <w:ind w:left="4693" w:hanging="180"/>
      </w:pPr>
    </w:lvl>
    <w:lvl w:ilvl="6" w:tplc="0407000F" w:tentative="1">
      <w:start w:val="1"/>
      <w:numFmt w:val="decimal"/>
      <w:lvlText w:val="%7."/>
      <w:lvlJc w:val="left"/>
      <w:pPr>
        <w:ind w:left="5413" w:hanging="360"/>
      </w:pPr>
    </w:lvl>
    <w:lvl w:ilvl="7" w:tplc="04070019" w:tentative="1">
      <w:start w:val="1"/>
      <w:numFmt w:val="lowerLetter"/>
      <w:lvlText w:val="%8."/>
      <w:lvlJc w:val="left"/>
      <w:pPr>
        <w:ind w:left="6133" w:hanging="360"/>
      </w:pPr>
    </w:lvl>
    <w:lvl w:ilvl="8" w:tplc="0407001B" w:tentative="1">
      <w:start w:val="1"/>
      <w:numFmt w:val="lowerRoman"/>
      <w:lvlText w:val="%9."/>
      <w:lvlJc w:val="right"/>
      <w:pPr>
        <w:ind w:left="6853" w:hanging="180"/>
      </w:pPr>
    </w:lvl>
  </w:abstractNum>
  <w:abstractNum w:abstractNumId="1" w15:restartNumberingAfterBreak="0">
    <w:nsid w:val="35EE21B1"/>
    <w:multiLevelType w:val="hybridMultilevel"/>
    <w:tmpl w:val="522E3234"/>
    <w:lvl w:ilvl="0" w:tplc="697AF29A">
      <w:start w:val="1"/>
      <w:numFmt w:val="decimal"/>
      <w:lvlText w:val="%1."/>
      <w:lvlJc w:val="left"/>
      <w:pPr>
        <w:ind w:left="360" w:hanging="360"/>
      </w:pPr>
      <w:rPr>
        <w:rFonts w:hint="default"/>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E1579DC"/>
    <w:multiLevelType w:val="hybridMultilevel"/>
    <w:tmpl w:val="42B205DE"/>
    <w:lvl w:ilvl="0" w:tplc="FFFFFFFF">
      <w:start w:val="1"/>
      <w:numFmt w:val="lowerLetter"/>
      <w:lvlText w:val="%1)"/>
      <w:lvlJc w:val="left"/>
      <w:pPr>
        <w:ind w:left="720" w:hanging="360"/>
      </w:pPr>
    </w:lvl>
    <w:lvl w:ilvl="1" w:tplc="04070017">
      <w:start w:val="1"/>
      <w:numFmt w:val="lowerLetter"/>
      <w:lvlText w:val="%2)"/>
      <w:lvlJc w:val="left"/>
      <w:pPr>
        <w:ind w:left="14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816961"/>
    <w:multiLevelType w:val="hybridMultilevel"/>
    <w:tmpl w:val="EEC6C028"/>
    <w:lvl w:ilvl="0" w:tplc="0407000F">
      <w:start w:val="1"/>
      <w:numFmt w:val="decimal"/>
      <w:lvlText w:val="%1."/>
      <w:lvlJc w:val="left"/>
      <w:pPr>
        <w:ind w:left="1108" w:hanging="360"/>
      </w:pPr>
    </w:lvl>
    <w:lvl w:ilvl="1" w:tplc="04070019" w:tentative="1">
      <w:start w:val="1"/>
      <w:numFmt w:val="lowerLetter"/>
      <w:lvlText w:val="%2."/>
      <w:lvlJc w:val="left"/>
      <w:pPr>
        <w:ind w:left="1828" w:hanging="360"/>
      </w:pPr>
    </w:lvl>
    <w:lvl w:ilvl="2" w:tplc="0407001B" w:tentative="1">
      <w:start w:val="1"/>
      <w:numFmt w:val="lowerRoman"/>
      <w:lvlText w:val="%3."/>
      <w:lvlJc w:val="right"/>
      <w:pPr>
        <w:ind w:left="2548" w:hanging="180"/>
      </w:pPr>
    </w:lvl>
    <w:lvl w:ilvl="3" w:tplc="0407000F" w:tentative="1">
      <w:start w:val="1"/>
      <w:numFmt w:val="decimal"/>
      <w:lvlText w:val="%4."/>
      <w:lvlJc w:val="left"/>
      <w:pPr>
        <w:ind w:left="3268" w:hanging="360"/>
      </w:pPr>
    </w:lvl>
    <w:lvl w:ilvl="4" w:tplc="04070019" w:tentative="1">
      <w:start w:val="1"/>
      <w:numFmt w:val="lowerLetter"/>
      <w:lvlText w:val="%5."/>
      <w:lvlJc w:val="left"/>
      <w:pPr>
        <w:ind w:left="3988" w:hanging="360"/>
      </w:pPr>
    </w:lvl>
    <w:lvl w:ilvl="5" w:tplc="0407001B" w:tentative="1">
      <w:start w:val="1"/>
      <w:numFmt w:val="lowerRoman"/>
      <w:lvlText w:val="%6."/>
      <w:lvlJc w:val="right"/>
      <w:pPr>
        <w:ind w:left="4708" w:hanging="180"/>
      </w:pPr>
    </w:lvl>
    <w:lvl w:ilvl="6" w:tplc="0407000F" w:tentative="1">
      <w:start w:val="1"/>
      <w:numFmt w:val="decimal"/>
      <w:lvlText w:val="%7."/>
      <w:lvlJc w:val="left"/>
      <w:pPr>
        <w:ind w:left="5428" w:hanging="360"/>
      </w:pPr>
    </w:lvl>
    <w:lvl w:ilvl="7" w:tplc="04070019" w:tentative="1">
      <w:start w:val="1"/>
      <w:numFmt w:val="lowerLetter"/>
      <w:lvlText w:val="%8."/>
      <w:lvlJc w:val="left"/>
      <w:pPr>
        <w:ind w:left="6148" w:hanging="360"/>
      </w:pPr>
    </w:lvl>
    <w:lvl w:ilvl="8" w:tplc="0407001B" w:tentative="1">
      <w:start w:val="1"/>
      <w:numFmt w:val="lowerRoman"/>
      <w:lvlText w:val="%9."/>
      <w:lvlJc w:val="right"/>
      <w:pPr>
        <w:ind w:left="6868" w:hanging="180"/>
      </w:pPr>
    </w:lvl>
  </w:abstractNum>
  <w:abstractNum w:abstractNumId="4" w15:restartNumberingAfterBreak="0">
    <w:nsid w:val="63213FFB"/>
    <w:multiLevelType w:val="hybridMultilevel"/>
    <w:tmpl w:val="A46A1194"/>
    <w:lvl w:ilvl="0" w:tplc="FFFFFFFF">
      <w:start w:val="1"/>
      <w:numFmt w:val="lowerLetter"/>
      <w:lvlText w:val="%1)"/>
      <w:lvlJc w:val="left"/>
      <w:pPr>
        <w:ind w:left="720" w:hanging="360"/>
      </w:pPr>
    </w:lvl>
    <w:lvl w:ilvl="1" w:tplc="04070017">
      <w:start w:val="1"/>
      <w:numFmt w:val="lowerLetter"/>
      <w:lvlText w:val="%2)"/>
      <w:lvlJc w:val="left"/>
      <w:pPr>
        <w:ind w:left="14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A0362A"/>
    <w:multiLevelType w:val="hybridMultilevel"/>
    <w:tmpl w:val="6240A1B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4C1669"/>
    <w:multiLevelType w:val="hybridMultilevel"/>
    <w:tmpl w:val="0156855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9535379">
    <w:abstractNumId w:val="3"/>
  </w:num>
  <w:num w:numId="2" w16cid:durableId="2003923256">
    <w:abstractNumId w:val="1"/>
  </w:num>
  <w:num w:numId="3" w16cid:durableId="6561367">
    <w:abstractNumId w:val="0"/>
  </w:num>
  <w:num w:numId="4" w16cid:durableId="1772504671">
    <w:abstractNumId w:val="6"/>
  </w:num>
  <w:num w:numId="5" w16cid:durableId="822046170">
    <w:abstractNumId w:val="2"/>
  </w:num>
  <w:num w:numId="6" w16cid:durableId="1595240261">
    <w:abstractNumId w:val="5"/>
  </w:num>
  <w:num w:numId="7" w16cid:durableId="1182746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A7"/>
    <w:rsid w:val="00036E17"/>
    <w:rsid w:val="000A2C3A"/>
    <w:rsid w:val="000E36FF"/>
    <w:rsid w:val="001909C5"/>
    <w:rsid w:val="001A0298"/>
    <w:rsid w:val="001A4474"/>
    <w:rsid w:val="00235B44"/>
    <w:rsid w:val="00300055"/>
    <w:rsid w:val="00440414"/>
    <w:rsid w:val="005C3B9A"/>
    <w:rsid w:val="00957DA7"/>
    <w:rsid w:val="00A371A8"/>
    <w:rsid w:val="00A84AA8"/>
    <w:rsid w:val="00AA7494"/>
    <w:rsid w:val="00AE3E2A"/>
    <w:rsid w:val="00B00468"/>
    <w:rsid w:val="00C45837"/>
    <w:rsid w:val="00D52711"/>
    <w:rsid w:val="00F51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3005"/>
  <w15:docId w15:val="{3D06898C-8B87-4CCA-B53A-C06CC4E0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0E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Paulo Glowacki</cp:lastModifiedBy>
  <cp:revision>6</cp:revision>
  <cp:lastPrinted>2022-04-24T13:20:00Z</cp:lastPrinted>
  <dcterms:created xsi:type="dcterms:W3CDTF">2022-04-24T11:12:00Z</dcterms:created>
  <dcterms:modified xsi:type="dcterms:W3CDTF">2022-04-24T13:20:00Z</dcterms:modified>
</cp:coreProperties>
</file>